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29DC" w14:textId="51FB1CE9" w:rsidR="006C08E7" w:rsidRDefault="006C08E7"/>
    <w:p w14:paraId="2990FB93" w14:textId="77777777" w:rsidR="00B45D61" w:rsidRDefault="00B45D61"/>
    <w:p w14:paraId="52B7BB2A" w14:textId="46B6D983" w:rsidR="00185B7D" w:rsidRPr="00185B7D" w:rsidRDefault="00185B7D" w:rsidP="00185B7D">
      <w:pPr>
        <w:pStyle w:val="Titre"/>
        <w:rPr>
          <w:rFonts w:eastAsia="Arial"/>
          <w:b/>
          <w:bCs/>
          <w:sz w:val="56"/>
          <w:szCs w:val="56"/>
          <w:lang w:eastAsia="fr-FR"/>
        </w:rPr>
      </w:pPr>
      <w:r w:rsidRPr="00185B7D">
        <w:rPr>
          <w:rFonts w:eastAsia="Arial"/>
          <w:b/>
          <w:bCs/>
          <w:sz w:val="56"/>
          <w:szCs w:val="56"/>
          <w:lang w:eastAsia="fr-FR"/>
        </w:rPr>
        <w:t>REGLEMENT INTERIEUR DU PIEED</w:t>
      </w:r>
    </w:p>
    <w:p w14:paraId="13BAAACB" w14:textId="140E9A49" w:rsidR="00185B7D" w:rsidRPr="00E542C6" w:rsidRDefault="00185B7D" w:rsidP="00E542C6">
      <w:pPr>
        <w:pStyle w:val="Titre"/>
        <w:rPr>
          <w:rFonts w:eastAsia="Arial"/>
          <w:b/>
          <w:bCs/>
          <w:sz w:val="56"/>
          <w:szCs w:val="56"/>
          <w:lang w:eastAsia="fr-FR"/>
        </w:rPr>
      </w:pPr>
      <w:r w:rsidRPr="00185B7D">
        <w:rPr>
          <w:rFonts w:eastAsia="Arial"/>
          <w:b/>
          <w:bCs/>
          <w:sz w:val="56"/>
          <w:szCs w:val="56"/>
          <w:lang w:eastAsia="fr-FR"/>
        </w:rPr>
        <w:t>1</w:t>
      </w:r>
      <w:r w:rsidR="007353FA">
        <w:rPr>
          <w:rFonts w:eastAsia="Arial"/>
          <w:b/>
          <w:bCs/>
          <w:sz w:val="56"/>
          <w:szCs w:val="56"/>
          <w:lang w:eastAsia="fr-FR"/>
        </w:rPr>
        <w:t>5</w:t>
      </w:r>
      <w:r w:rsidRPr="00185B7D">
        <w:rPr>
          <w:rFonts w:eastAsia="Arial"/>
          <w:b/>
          <w:bCs/>
          <w:sz w:val="56"/>
          <w:szCs w:val="56"/>
          <w:lang w:eastAsia="fr-FR"/>
        </w:rPr>
        <w:t>è Edition-202</w:t>
      </w:r>
      <w:r w:rsidR="007353FA">
        <w:rPr>
          <w:rFonts w:eastAsia="Arial"/>
          <w:b/>
          <w:bCs/>
          <w:sz w:val="56"/>
          <w:szCs w:val="56"/>
          <w:lang w:eastAsia="fr-FR"/>
        </w:rPr>
        <w:t>4</w:t>
      </w:r>
    </w:p>
    <w:p w14:paraId="053FA44D" w14:textId="77777777" w:rsidR="00185B7D" w:rsidRPr="00185B7D" w:rsidRDefault="00185B7D" w:rsidP="00185B7D">
      <w:pPr>
        <w:rPr>
          <w:lang w:eastAsia="fr-FR"/>
        </w:rPr>
      </w:pPr>
    </w:p>
    <w:p w14:paraId="6418FD28" w14:textId="77777777" w:rsidR="00185B7D" w:rsidRPr="00185B7D" w:rsidRDefault="00185B7D" w:rsidP="00185B7D">
      <w:pPr>
        <w:shd w:val="clear" w:color="auto" w:fill="5AAA96"/>
        <w:spacing w:after="0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FFFFFF"/>
          <w:sz w:val="32"/>
          <w:lang w:eastAsia="fr-FR"/>
        </w:rPr>
        <w:t>Article 1 : Les parties organisatrices</w:t>
      </w:r>
    </w:p>
    <w:p w14:paraId="2DB4E6B0" w14:textId="0727FB78" w:rsidR="00185B7D" w:rsidRPr="00185B7D" w:rsidRDefault="00185B7D" w:rsidP="00185B7D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>Le PIEED est un projet co-porté par Engagé·e·s et Déterminé·e·s, France Volontaires, Solidarité Laïque avec le soutien de l’AFD, qui assure la mise en place d’un dispositif de soutien</w:t>
      </w:r>
      <w:r w:rsidR="00643186">
        <w:rPr>
          <w:rFonts w:ascii="Arial" w:eastAsia="Arial" w:hAnsi="Arial" w:cs="Arial"/>
          <w:color w:val="333333"/>
          <w:sz w:val="24"/>
          <w:lang w:eastAsia="fr-FR"/>
        </w:rPr>
        <w:t xml:space="preserve"> financier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, d’accompagnement et de valorisation de projets d’Education à la Citoyenneté et à la Solidarité Internationale (ECSI) portés par des associations de jeunes sur le territoire français. </w:t>
      </w:r>
    </w:p>
    <w:p w14:paraId="1002AAC8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2 : Le dispositif </w:t>
      </w:r>
    </w:p>
    <w:p w14:paraId="515E8103" w14:textId="6821A42E" w:rsidR="00185B7D" w:rsidRDefault="00185B7D" w:rsidP="00185B7D">
      <w:pPr>
        <w:spacing w:after="306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 Prix des Initiatives Engagées Et Déterminées  pour l’Education à la Citoyenneté et à la Solidarité Internationale est destiné à soutenir les associations de jeunes qui œuvrent pour la solidarité internationale en France, en menant des actions d’Education à la Citoyenneté et à la Solidarité Internationale (ECSI). </w:t>
      </w:r>
    </w:p>
    <w:p w14:paraId="7288340D" w14:textId="723F3ABC" w:rsidR="00183415" w:rsidRPr="00183415" w:rsidRDefault="00A13C78" w:rsidP="00183415">
      <w:pPr>
        <w:spacing w:after="306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>
        <w:rPr>
          <w:rFonts w:ascii="Arial" w:eastAsia="Arial" w:hAnsi="Arial" w:cs="Arial"/>
          <w:color w:val="333333"/>
          <w:sz w:val="24"/>
          <w:lang w:eastAsia="fr-FR"/>
        </w:rPr>
        <w:t>L’ECSI</w:t>
      </w:r>
      <w:r w:rsidR="00183415" w:rsidRPr="00183415">
        <w:rPr>
          <w:rFonts w:ascii="Arial" w:eastAsia="Arial" w:hAnsi="Arial" w:cs="Arial"/>
          <w:color w:val="333333"/>
          <w:sz w:val="24"/>
          <w:lang w:eastAsia="fr-FR"/>
        </w:rPr>
        <w:t xml:space="preserve"> permet à chacun·e, quel que soit son âge, de mieux comprendre la complexité du monde qui l’entoure, les mécanismes d’interdépendance et d’exclusion, ainsi que les origines des inégalités. Elle favorise l’engagement citoyen</w:t>
      </w:r>
      <w:r w:rsidR="00183415">
        <w:rPr>
          <w:rFonts w:ascii="Arial" w:eastAsia="Arial" w:hAnsi="Arial" w:cs="Arial"/>
          <w:color w:val="333333"/>
          <w:sz w:val="24"/>
          <w:lang w:eastAsia="fr-FR"/>
        </w:rPr>
        <w:t xml:space="preserve"> mondial</w:t>
      </w:r>
      <w:r w:rsidR="00183415" w:rsidRPr="00183415">
        <w:rPr>
          <w:rFonts w:ascii="Arial" w:eastAsia="Arial" w:hAnsi="Arial" w:cs="Arial"/>
          <w:color w:val="333333"/>
          <w:sz w:val="24"/>
          <w:lang w:eastAsia="fr-FR"/>
        </w:rPr>
        <w:t xml:space="preserve"> pour une société plus juste, solidaire et durable</w:t>
      </w:r>
      <w:r w:rsidR="00183415">
        <w:rPr>
          <w:rFonts w:ascii="Arial" w:eastAsia="Arial" w:hAnsi="Arial" w:cs="Arial"/>
          <w:color w:val="333333"/>
          <w:sz w:val="24"/>
          <w:lang w:eastAsia="fr-FR"/>
        </w:rPr>
        <w:t xml:space="preserve">, en agissant au niveau local. </w:t>
      </w:r>
    </w:p>
    <w:p w14:paraId="6DA461C2" w14:textId="0CB46EA2" w:rsidR="00A13C78" w:rsidRPr="00185B7D" w:rsidRDefault="00183415" w:rsidP="00183415">
      <w:pPr>
        <w:spacing w:after="306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3415">
        <w:rPr>
          <w:rFonts w:ascii="Arial" w:eastAsia="Arial" w:hAnsi="Arial" w:cs="Arial"/>
          <w:color w:val="333333"/>
          <w:sz w:val="24"/>
          <w:lang w:eastAsia="fr-FR"/>
        </w:rPr>
        <w:t>L'ECSI est indispensable pour favoriser une compréhension systémique des enjeux mondiaux mais aussi accompagner le changement nécessaire à un idéal sociétale plus équitable et plus pérenne.</w:t>
      </w:r>
      <w:r>
        <w:rPr>
          <w:rStyle w:val="Appelnotedebasdep"/>
          <w:rFonts w:ascii="Arial" w:eastAsia="Arial" w:hAnsi="Arial" w:cs="Arial"/>
          <w:color w:val="333333"/>
          <w:sz w:val="24"/>
          <w:lang w:eastAsia="fr-FR"/>
        </w:rPr>
        <w:footnoteReference w:id="1"/>
      </w:r>
    </w:p>
    <w:p w14:paraId="31883F6F" w14:textId="77777777" w:rsidR="00185B7D" w:rsidRPr="00185B7D" w:rsidRDefault="00185B7D" w:rsidP="00185B7D">
      <w:pPr>
        <w:spacing w:after="0"/>
        <w:ind w:left="-5" w:hanging="10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b/>
          <w:color w:val="333333"/>
          <w:sz w:val="26"/>
          <w:u w:val="single" w:color="333333"/>
          <w:lang w:eastAsia="fr-FR"/>
        </w:rPr>
        <w:t>Les objectifs du dispositif sont :</w:t>
      </w:r>
      <w:r w:rsidRPr="00185B7D">
        <w:rPr>
          <w:rFonts w:ascii="Arial" w:eastAsia="Arial" w:hAnsi="Arial" w:cs="Arial"/>
          <w:color w:val="333333"/>
          <w:sz w:val="26"/>
          <w:lang w:eastAsia="fr-FR"/>
        </w:rPr>
        <w:t xml:space="preserve"> </w:t>
      </w:r>
    </w:p>
    <w:p w14:paraId="52F65C04" w14:textId="77777777" w:rsidR="00185B7D" w:rsidRPr="00185B7D" w:rsidRDefault="00185B7D" w:rsidP="00185B7D">
      <w:pPr>
        <w:numPr>
          <w:ilvl w:val="0"/>
          <w:numId w:val="1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Encourager les jeunes à s’engager dans des actions d’Éducation à la </w:t>
      </w:r>
    </w:p>
    <w:p w14:paraId="5034E55C" w14:textId="77777777" w:rsidR="00185B7D" w:rsidRPr="00185B7D" w:rsidRDefault="00185B7D" w:rsidP="00185B7D">
      <w:pPr>
        <w:spacing w:after="3" w:line="269" w:lineRule="auto"/>
        <w:ind w:left="763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Citoyenneté et à la Solidarité Internationale,  </w:t>
      </w:r>
    </w:p>
    <w:p w14:paraId="184FE772" w14:textId="77777777" w:rsidR="00185B7D" w:rsidRPr="00185B7D" w:rsidRDefault="00185B7D" w:rsidP="00185B7D">
      <w:pPr>
        <w:numPr>
          <w:ilvl w:val="0"/>
          <w:numId w:val="1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Défendre les valeurs de la solidarité internationale et en complexifier la vision,  </w:t>
      </w:r>
    </w:p>
    <w:p w14:paraId="4C6EBEE7" w14:textId="77777777" w:rsidR="00185B7D" w:rsidRPr="00185B7D" w:rsidRDefault="00185B7D" w:rsidP="00185B7D">
      <w:pPr>
        <w:numPr>
          <w:ilvl w:val="0"/>
          <w:numId w:val="1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Soutenir et mettre en valeur la citoyenneté jeune et solidaire, à une échelle locale et internationale,  </w:t>
      </w:r>
    </w:p>
    <w:p w14:paraId="4F9E907D" w14:textId="57EA96F3" w:rsidR="00185B7D" w:rsidRDefault="00185B7D" w:rsidP="00185B7D">
      <w:pPr>
        <w:numPr>
          <w:ilvl w:val="0"/>
          <w:numId w:val="1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Promouvoir des projets innovants en Éducation à la Citoyenneté et à la Solidarité Internationale (ECSI), </w:t>
      </w:r>
    </w:p>
    <w:p w14:paraId="5DADCF4D" w14:textId="6FF6B3CE" w:rsidR="00E542C6" w:rsidRDefault="00E542C6" w:rsidP="00E542C6">
      <w:pPr>
        <w:spacing w:after="3" w:line="269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665CE92F" w14:textId="77777777" w:rsidR="00E542C6" w:rsidRDefault="00E542C6" w:rsidP="00E542C6">
      <w:pPr>
        <w:spacing w:after="3" w:line="269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6E44EC92" w14:textId="65349226" w:rsidR="00183415" w:rsidRDefault="00183415" w:rsidP="00183415">
      <w:pPr>
        <w:spacing w:after="3" w:line="269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2CD7B869" w14:textId="77777777" w:rsidR="00183415" w:rsidRPr="00185B7D" w:rsidRDefault="00183415" w:rsidP="00183415">
      <w:pPr>
        <w:spacing w:after="3" w:line="269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1119ECD2" w14:textId="77777777" w:rsidR="00185B7D" w:rsidRPr="00185B7D" w:rsidRDefault="00185B7D" w:rsidP="00185B7D">
      <w:pPr>
        <w:numPr>
          <w:ilvl w:val="0"/>
          <w:numId w:val="1"/>
        </w:numPr>
        <w:spacing w:after="337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Diffuser et valoriser des bonnes pratiques de solidarité internationale </w:t>
      </w:r>
    </w:p>
    <w:p w14:paraId="2A9EECDD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3 : Conditions d’éligibilité des associations participantes </w:t>
      </w:r>
    </w:p>
    <w:p w14:paraId="2DF19315" w14:textId="77777777" w:rsidR="00185B7D" w:rsidRPr="00185B7D" w:rsidRDefault="00185B7D" w:rsidP="00185B7D">
      <w:pPr>
        <w:spacing w:after="262"/>
        <w:ind w:left="-5" w:hanging="10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b/>
          <w:color w:val="333333"/>
          <w:sz w:val="26"/>
          <w:u w:val="single" w:color="333333"/>
          <w:lang w:eastAsia="fr-FR"/>
        </w:rPr>
        <w:t>Sont éligibles au PIEED :</w:t>
      </w:r>
      <w:r w:rsidRPr="00185B7D">
        <w:rPr>
          <w:rFonts w:ascii="Arial" w:eastAsia="Arial" w:hAnsi="Arial" w:cs="Arial"/>
          <w:b/>
          <w:color w:val="333333"/>
          <w:sz w:val="26"/>
          <w:lang w:eastAsia="fr-FR"/>
        </w:rPr>
        <w:t xml:space="preserve"> </w:t>
      </w:r>
    </w:p>
    <w:p w14:paraId="1FD8CB5C" w14:textId="71AF9F71" w:rsidR="008E7FB9" w:rsidRPr="00183415" w:rsidRDefault="00185B7D" w:rsidP="00183415">
      <w:pPr>
        <w:numPr>
          <w:ilvl w:val="0"/>
          <w:numId w:val="2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>Toute association de jeunes à but non lucratif de loi 1901. Est entendu par « association de jeunes » toute association dont les instances dirigeantes (bureau ou conseil d’administration) sont composées d’au moins 80% de personnes âgées entre 15 et 30 ans. Une liste des membres du bureau ou du CA mentionnant l’âge, le sexe et la situation socio-professionnelle vous sera</w:t>
      </w:r>
    </w:p>
    <w:p w14:paraId="27A45A55" w14:textId="2C359D1A" w:rsidR="00185B7D" w:rsidRPr="00185B7D" w:rsidRDefault="00185B7D" w:rsidP="008E7FB9">
      <w:pPr>
        <w:spacing w:after="3" w:line="269" w:lineRule="auto"/>
        <w:ind w:left="738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demandée ainsi que les cartes d’identité du·de la président·e et du·de la trésorier·ère.  </w:t>
      </w:r>
    </w:p>
    <w:p w14:paraId="672A3037" w14:textId="77777777" w:rsidR="00185B7D" w:rsidRPr="00185B7D" w:rsidRDefault="00185B7D" w:rsidP="00185B7D">
      <w:pPr>
        <w:numPr>
          <w:ilvl w:val="0"/>
          <w:numId w:val="2"/>
        </w:numPr>
        <w:spacing w:after="290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Junior Associations </w:t>
      </w:r>
    </w:p>
    <w:p w14:paraId="0E640736" w14:textId="77777777" w:rsidR="00643186" w:rsidRDefault="00643186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67F01751" w14:textId="77777777" w:rsidR="00643186" w:rsidRDefault="00643186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588896CE" w14:textId="493029A9" w:rsidR="00185B7D" w:rsidRPr="00185B7D" w:rsidRDefault="00185B7D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>Pour des raisons d’équité, toute association de jeunes lauréate d’un Prix en année N ne pourra pas représenter le même projet avec la même équipe</w:t>
      </w:r>
      <w:r w:rsidR="00643186">
        <w:rPr>
          <w:rFonts w:ascii="Arial" w:eastAsia="Arial" w:hAnsi="Arial" w:cs="Arial"/>
          <w:color w:val="333333"/>
          <w:sz w:val="24"/>
          <w:lang w:eastAsia="fr-FR"/>
        </w:rPr>
        <w:t xml:space="preserve"> porteuse du projet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en année N+1. </w:t>
      </w:r>
    </w:p>
    <w:p w14:paraId="0B0E3B19" w14:textId="24F844D0" w:rsidR="00185B7D" w:rsidRPr="00185B7D" w:rsidRDefault="00185B7D" w:rsidP="00185B7D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L’association pourra candidater uniquement avec un nouveau projet et une </w:t>
      </w:r>
      <w:r w:rsidR="00643186">
        <w:rPr>
          <w:rFonts w:ascii="Arial" w:eastAsia="Arial" w:hAnsi="Arial" w:cs="Arial"/>
          <w:color w:val="333333"/>
          <w:sz w:val="24"/>
          <w:lang w:eastAsia="fr-FR"/>
        </w:rPr>
        <w:t>nouvelle équipe porteuse du projet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. </w:t>
      </w:r>
    </w:p>
    <w:p w14:paraId="3BFDF4E4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4 : Critères de sélection </w:t>
      </w:r>
    </w:p>
    <w:p w14:paraId="18A89B42" w14:textId="77777777" w:rsidR="00185B7D" w:rsidRPr="00185B7D" w:rsidRDefault="00185B7D" w:rsidP="00185B7D">
      <w:pPr>
        <w:spacing w:after="271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projets retenus par le jury devront se démarquer par : </w:t>
      </w:r>
    </w:p>
    <w:p w14:paraId="1758F0F2" w14:textId="7E627496" w:rsidR="00185B7D" w:rsidRPr="00185B7D" w:rsidRDefault="00185B7D" w:rsidP="00185B7D">
      <w:pPr>
        <w:numPr>
          <w:ilvl w:val="0"/>
          <w:numId w:val="3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>La mise en œuvre d’actions</w:t>
      </w:r>
      <w:r w:rsidR="00643186">
        <w:rPr>
          <w:rFonts w:ascii="Arial" w:eastAsia="Arial" w:hAnsi="Arial" w:cs="Arial"/>
          <w:color w:val="333333"/>
          <w:sz w:val="24"/>
          <w:lang w:eastAsia="fr-FR"/>
        </w:rPr>
        <w:t xml:space="preserve"> nouvelles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d’Éducation à la Citoyenneté et à la Solidarité Internationale et d’outils spécifiques, sur le territoire français</w:t>
      </w:r>
      <w:r w:rsidR="00643186">
        <w:rPr>
          <w:rFonts w:ascii="Arial" w:eastAsia="Arial" w:hAnsi="Arial" w:cs="Arial"/>
          <w:color w:val="333333"/>
          <w:sz w:val="24"/>
          <w:lang w:eastAsia="fr-FR"/>
        </w:rPr>
        <w:t>,</w:t>
      </w:r>
    </w:p>
    <w:p w14:paraId="4A202FB5" w14:textId="77777777" w:rsidR="00185B7D" w:rsidRPr="00185B7D" w:rsidRDefault="00185B7D" w:rsidP="00185B7D">
      <w:pPr>
        <w:numPr>
          <w:ilvl w:val="0"/>
          <w:numId w:val="3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La diversité, la pertinence et l’originalité de ces actions et outils tant au niveau des thématiques qu’ils abordent, des supports utilisés, des publics visés, etc. </w:t>
      </w:r>
    </w:p>
    <w:p w14:paraId="4FD30AA5" w14:textId="77777777" w:rsidR="00185B7D" w:rsidRPr="00185B7D" w:rsidRDefault="00185B7D" w:rsidP="00185B7D">
      <w:pPr>
        <w:numPr>
          <w:ilvl w:val="0"/>
          <w:numId w:val="3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La qualité des démarches éducatives entreprises, </w:t>
      </w:r>
    </w:p>
    <w:p w14:paraId="6E4C3840" w14:textId="42CFB1D2" w:rsidR="00185B7D" w:rsidRPr="00185B7D" w:rsidRDefault="00185B7D" w:rsidP="00185B7D">
      <w:pPr>
        <w:numPr>
          <w:ilvl w:val="0"/>
          <w:numId w:val="3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Une attention particulière sera portée aux actions à destination prioritaire du public jeune, ainsi qu’à l’effort de démultiplication du facteur « engagement » auprès de ce public,  </w:t>
      </w:r>
    </w:p>
    <w:p w14:paraId="7D16E70F" w14:textId="77777777" w:rsidR="00185B7D" w:rsidRPr="00185B7D" w:rsidRDefault="00185B7D" w:rsidP="00185B7D">
      <w:pPr>
        <w:numPr>
          <w:ilvl w:val="0"/>
          <w:numId w:val="3"/>
        </w:numPr>
        <w:spacing w:after="337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La cohérence entre ces actions et le budget qui leur est alloué  </w:t>
      </w:r>
    </w:p>
    <w:p w14:paraId="01EB4E7E" w14:textId="3B2EF31E" w:rsidR="005C45F2" w:rsidRPr="00185B7D" w:rsidRDefault="00185B7D" w:rsidP="005C45F2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5 : Calendrier et modalités de sélection </w:t>
      </w:r>
    </w:p>
    <w:p w14:paraId="3C727624" w14:textId="77777777" w:rsidR="003C0D88" w:rsidRDefault="003C0D88" w:rsidP="003C0D88">
      <w:pPr>
        <w:pStyle w:val="Paragraphedeliste"/>
        <w:rPr>
          <w:b/>
          <w:bCs/>
        </w:rPr>
      </w:pPr>
    </w:p>
    <w:p w14:paraId="0725AC04" w14:textId="514419D9" w:rsidR="005C45F2" w:rsidRPr="003C0D88" w:rsidRDefault="00507C15" w:rsidP="003C0D88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5C45F2" w:rsidRPr="003C0D88">
        <w:rPr>
          <w:b/>
          <w:bCs/>
          <w:sz w:val="24"/>
          <w:szCs w:val="24"/>
        </w:rPr>
        <w:t xml:space="preserve"> janvier 202</w:t>
      </w:r>
      <w:r>
        <w:rPr>
          <w:b/>
          <w:bCs/>
          <w:sz w:val="24"/>
          <w:szCs w:val="24"/>
        </w:rPr>
        <w:t>4</w:t>
      </w:r>
      <w:r w:rsidR="005C45F2" w:rsidRPr="003C0D88">
        <w:rPr>
          <w:b/>
          <w:bCs/>
          <w:sz w:val="24"/>
          <w:szCs w:val="24"/>
        </w:rPr>
        <w:t> : Ouverture des candidatures</w:t>
      </w:r>
    </w:p>
    <w:p w14:paraId="7886C432" w14:textId="55754FEB" w:rsidR="005C45F2" w:rsidRPr="003C0D88" w:rsidRDefault="00507C15" w:rsidP="003C0D88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5C45F2" w:rsidRPr="003C0D88">
        <w:rPr>
          <w:b/>
          <w:bCs/>
          <w:sz w:val="24"/>
          <w:szCs w:val="24"/>
        </w:rPr>
        <w:t xml:space="preserve"> avril 202</w:t>
      </w:r>
      <w:r>
        <w:rPr>
          <w:b/>
          <w:bCs/>
          <w:sz w:val="24"/>
          <w:szCs w:val="24"/>
        </w:rPr>
        <w:t>4</w:t>
      </w:r>
      <w:r w:rsidR="005C45F2" w:rsidRPr="003C0D88">
        <w:rPr>
          <w:b/>
          <w:bCs/>
          <w:sz w:val="24"/>
          <w:szCs w:val="24"/>
        </w:rPr>
        <w:t xml:space="preserve"> à 23h59 : clôture des candidatures</w:t>
      </w:r>
    </w:p>
    <w:p w14:paraId="40A16CFF" w14:textId="5F3058BC" w:rsidR="005C45F2" w:rsidRDefault="00E034F1" w:rsidP="003C0D88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avril 2024</w:t>
      </w:r>
      <w:r w:rsidR="005C45F2" w:rsidRPr="003C0D88">
        <w:rPr>
          <w:b/>
          <w:bCs/>
          <w:sz w:val="24"/>
          <w:szCs w:val="24"/>
        </w:rPr>
        <w:t> : comité d’examen</w:t>
      </w:r>
    </w:p>
    <w:p w14:paraId="35A0CC01" w14:textId="30EFE18D" w:rsidR="00E542C6" w:rsidRDefault="00E542C6" w:rsidP="00E542C6">
      <w:pPr>
        <w:rPr>
          <w:b/>
          <w:bCs/>
          <w:sz w:val="24"/>
          <w:szCs w:val="24"/>
        </w:rPr>
      </w:pPr>
    </w:p>
    <w:p w14:paraId="7DACB80F" w14:textId="77777777" w:rsidR="00E542C6" w:rsidRPr="00E542C6" w:rsidRDefault="00E542C6" w:rsidP="00E542C6">
      <w:pPr>
        <w:rPr>
          <w:b/>
          <w:bCs/>
          <w:sz w:val="24"/>
          <w:szCs w:val="24"/>
        </w:rPr>
      </w:pPr>
    </w:p>
    <w:p w14:paraId="35AB2EF0" w14:textId="0AA87DA0" w:rsidR="005C45F2" w:rsidRPr="003C0D88" w:rsidRDefault="005C45F2" w:rsidP="003C0D88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3C0D88">
        <w:rPr>
          <w:b/>
          <w:bCs/>
          <w:sz w:val="24"/>
          <w:szCs w:val="24"/>
        </w:rPr>
        <w:t xml:space="preserve">Du </w:t>
      </w:r>
      <w:r w:rsidR="005135D8">
        <w:rPr>
          <w:b/>
          <w:bCs/>
          <w:sz w:val="24"/>
          <w:szCs w:val="24"/>
        </w:rPr>
        <w:t>1</w:t>
      </w:r>
      <w:r w:rsidRPr="003C0D88">
        <w:rPr>
          <w:b/>
          <w:bCs/>
          <w:sz w:val="24"/>
          <w:szCs w:val="24"/>
        </w:rPr>
        <w:t xml:space="preserve"> au </w:t>
      </w:r>
      <w:r w:rsidR="00F90B06">
        <w:rPr>
          <w:b/>
          <w:bCs/>
          <w:sz w:val="24"/>
          <w:szCs w:val="24"/>
        </w:rPr>
        <w:t>1</w:t>
      </w:r>
      <w:r w:rsidR="005135D8">
        <w:rPr>
          <w:b/>
          <w:bCs/>
          <w:sz w:val="24"/>
          <w:szCs w:val="24"/>
        </w:rPr>
        <w:t>2</w:t>
      </w:r>
      <w:r w:rsidRPr="003C0D88">
        <w:rPr>
          <w:b/>
          <w:bCs/>
          <w:sz w:val="24"/>
          <w:szCs w:val="24"/>
        </w:rPr>
        <w:t xml:space="preserve"> mai</w:t>
      </w:r>
      <w:r w:rsidR="003C0D88" w:rsidRPr="003C0D88">
        <w:rPr>
          <w:b/>
          <w:bCs/>
          <w:sz w:val="24"/>
          <w:szCs w:val="24"/>
        </w:rPr>
        <w:t xml:space="preserve"> 202</w:t>
      </w:r>
      <w:r w:rsidR="005135D8">
        <w:rPr>
          <w:b/>
          <w:bCs/>
          <w:sz w:val="24"/>
          <w:szCs w:val="24"/>
        </w:rPr>
        <w:t>4</w:t>
      </w:r>
      <w:r w:rsidRPr="003C0D88">
        <w:rPr>
          <w:b/>
          <w:bCs/>
          <w:sz w:val="24"/>
          <w:szCs w:val="24"/>
        </w:rPr>
        <w:t> : envoi des vidéos de pitch de projets par les associations finalistes</w:t>
      </w:r>
    </w:p>
    <w:p w14:paraId="7E9A6D02" w14:textId="7F744D7E" w:rsidR="005C45F2" w:rsidRPr="003C0D88" w:rsidRDefault="0020551B" w:rsidP="003C0D88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mai 2024</w:t>
      </w:r>
      <w:r w:rsidR="003C0D88" w:rsidRPr="003C0D88">
        <w:rPr>
          <w:b/>
          <w:bCs/>
          <w:sz w:val="24"/>
          <w:szCs w:val="24"/>
        </w:rPr>
        <w:t xml:space="preserve"> : Jury du PIEED </w:t>
      </w:r>
    </w:p>
    <w:p w14:paraId="5627C37E" w14:textId="4260E312" w:rsidR="00185B7D" w:rsidRPr="00185B7D" w:rsidRDefault="00185B7D" w:rsidP="00185B7D">
      <w:pPr>
        <w:spacing w:after="292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 jury est composé de </w:t>
      </w:r>
      <w:r w:rsidR="003C0D88">
        <w:rPr>
          <w:rFonts w:ascii="Arial" w:eastAsia="Arial" w:hAnsi="Arial" w:cs="Arial"/>
          <w:color w:val="333333"/>
          <w:sz w:val="24"/>
          <w:lang w:eastAsia="fr-FR"/>
        </w:rPr>
        <w:t>6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à </w:t>
      </w:r>
      <w:r w:rsidR="003C0D88">
        <w:rPr>
          <w:rFonts w:ascii="Arial" w:eastAsia="Arial" w:hAnsi="Arial" w:cs="Arial"/>
          <w:color w:val="333333"/>
          <w:sz w:val="24"/>
          <w:lang w:eastAsia="fr-FR"/>
        </w:rPr>
        <w:t>8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professionnel·les de la solidarité internationale et de l’Éducation à la Citoyenneté et à la Solidarité Internationale : chaque association finaliste </w:t>
      </w:r>
      <w:r w:rsidR="003C0D88">
        <w:rPr>
          <w:rFonts w:ascii="Arial" w:eastAsia="Arial" w:hAnsi="Arial" w:cs="Arial"/>
          <w:color w:val="333333"/>
          <w:sz w:val="24"/>
          <w:lang w:eastAsia="fr-FR"/>
        </w:rPr>
        <w:t>réalise une vidéo de présentation de son projet d’une durée de 5min en amont du jury</w:t>
      </w:r>
      <w:r w:rsidR="003B652D">
        <w:rPr>
          <w:rFonts w:ascii="Arial" w:eastAsia="Arial" w:hAnsi="Arial" w:cs="Arial"/>
          <w:color w:val="333333"/>
          <w:sz w:val="24"/>
          <w:lang w:eastAsia="fr-FR"/>
        </w:rPr>
        <w:t xml:space="preserve"> d’examen qui a lieu à Paris.</w:t>
      </w:r>
    </w:p>
    <w:p w14:paraId="146B4282" w14:textId="2F8F13A8" w:rsidR="00A13C78" w:rsidRPr="00185B7D" w:rsidRDefault="00185B7D" w:rsidP="00E542C6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Toute association retenue parmi les finalistes doit </w:t>
      </w:r>
      <w:r w:rsidR="003C0D88">
        <w:rPr>
          <w:rFonts w:ascii="Arial" w:eastAsia="Arial" w:hAnsi="Arial" w:cs="Arial"/>
          <w:color w:val="333333"/>
          <w:sz w:val="24"/>
          <w:lang w:eastAsia="fr-FR"/>
        </w:rPr>
        <w:t xml:space="preserve">participer 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physiquement </w:t>
      </w:r>
      <w:r w:rsidR="003C0D88">
        <w:rPr>
          <w:rFonts w:ascii="Arial" w:eastAsia="Arial" w:hAnsi="Arial" w:cs="Arial"/>
          <w:color w:val="333333"/>
          <w:sz w:val="24"/>
          <w:lang w:eastAsia="fr-FR"/>
        </w:rPr>
        <w:t>au jury d’examen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. </w:t>
      </w:r>
      <w:r w:rsidR="003B652D">
        <w:rPr>
          <w:rFonts w:ascii="Arial" w:eastAsia="Arial" w:hAnsi="Arial" w:cs="Arial"/>
          <w:color w:val="333333"/>
          <w:sz w:val="24"/>
          <w:lang w:eastAsia="fr-FR"/>
        </w:rPr>
        <w:t xml:space="preserve">Ce temps consistera à échanger avec les membres du jury, en répondant notamment à leurs différentes questions. 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Dans le cas où les membres du projet ne sont pas disponibles ce jour-là, l’association doit mandater une autre personne physique pour </w:t>
      </w:r>
      <w:r w:rsidR="003C0D88">
        <w:rPr>
          <w:rFonts w:ascii="Arial" w:eastAsia="Arial" w:hAnsi="Arial" w:cs="Arial"/>
          <w:color w:val="333333"/>
          <w:sz w:val="24"/>
          <w:lang w:eastAsia="fr-FR"/>
        </w:rPr>
        <w:t>la représenter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.  </w:t>
      </w:r>
    </w:p>
    <w:p w14:paraId="2B540369" w14:textId="06F1F8BC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>Article</w:t>
      </w:r>
      <w:r w:rsidR="00A13C78">
        <w:rPr>
          <w:rFonts w:ascii="Calibri" w:eastAsia="Calibri" w:hAnsi="Calibri" w:cs="Calibri"/>
          <w:color w:val="FFFFFF"/>
          <w:sz w:val="32"/>
          <w:lang w:eastAsia="fr-FR"/>
        </w:rPr>
        <w:t xml:space="preserve"> </w:t>
      </w: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6 : Subvention </w:t>
      </w:r>
    </w:p>
    <w:p w14:paraId="3EE6BC39" w14:textId="77777777" w:rsidR="00E542C6" w:rsidRDefault="00E542C6" w:rsidP="00E542C6">
      <w:pPr>
        <w:spacing w:after="292" w:line="269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5A293A3A" w14:textId="1EF1D78B" w:rsidR="003B652D" w:rsidRDefault="00185B7D" w:rsidP="00E542C6">
      <w:pPr>
        <w:spacing w:after="292" w:line="269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Chacune des associations lauréates reçoit un seul Prix, d’une dotation allant de </w:t>
      </w:r>
      <w:r w:rsidR="003B652D">
        <w:rPr>
          <w:rFonts w:ascii="Arial" w:eastAsia="Arial" w:hAnsi="Arial" w:cs="Arial"/>
          <w:color w:val="333333"/>
          <w:sz w:val="24"/>
          <w:lang w:eastAsia="fr-FR"/>
        </w:rPr>
        <w:t>2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000 à 5 000 € (2 x 2 000, 1 x 3 000, 1 x 4 000 et 1 x 5 000). </w:t>
      </w:r>
    </w:p>
    <w:p w14:paraId="7AD491BC" w14:textId="161056E0" w:rsidR="00185B7D" w:rsidRPr="00185B7D" w:rsidRDefault="00185B7D" w:rsidP="00185B7D">
      <w:pPr>
        <w:spacing w:after="292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>Un premier versement de 80% de la subvention est effectué à partir de la signature de la convention de partenariat, dans un délai de deux mois</w:t>
      </w:r>
      <w:r w:rsidR="003B652D">
        <w:rPr>
          <w:rFonts w:ascii="Arial" w:eastAsia="Arial" w:hAnsi="Arial" w:cs="Arial"/>
          <w:color w:val="333333"/>
          <w:sz w:val="24"/>
          <w:lang w:eastAsia="fr-FR"/>
        </w:rPr>
        <w:t xml:space="preserve"> maximum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après le Jury d’examen. Les 20% restants seront versés dès que l’association aura déposé le bilan du projet, suite à la validation d’Engagé·e·s et Déterminé·e·s. </w:t>
      </w:r>
    </w:p>
    <w:p w14:paraId="47E7C32C" w14:textId="335B0A87" w:rsidR="00185B7D" w:rsidRDefault="00185B7D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versements sont effectués par envoi de chèque </w:t>
      </w:r>
      <w:r w:rsidR="003B652D">
        <w:rPr>
          <w:rFonts w:ascii="Arial" w:eastAsia="Arial" w:hAnsi="Arial" w:cs="Arial"/>
          <w:color w:val="333333"/>
          <w:sz w:val="24"/>
          <w:lang w:eastAsia="fr-FR"/>
        </w:rPr>
        <w:t xml:space="preserve">ou par virement bancaire 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à l’association lauréate. </w:t>
      </w:r>
    </w:p>
    <w:p w14:paraId="46AFB2FC" w14:textId="77777777" w:rsidR="00A13C78" w:rsidRPr="00185B7D" w:rsidRDefault="00A13C78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21373BCA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7 : Modalités et règles de dépenses </w:t>
      </w:r>
    </w:p>
    <w:p w14:paraId="5EFD6ED3" w14:textId="77777777" w:rsidR="00185B7D" w:rsidRPr="00185B7D" w:rsidRDefault="00185B7D" w:rsidP="00185B7D">
      <w:pPr>
        <w:spacing w:after="0"/>
        <w:ind w:left="-5" w:hanging="10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b/>
          <w:color w:val="333333"/>
          <w:sz w:val="26"/>
          <w:u w:val="single" w:color="333333"/>
          <w:lang w:eastAsia="fr-FR"/>
        </w:rPr>
        <w:t>Sont éligibles :</w:t>
      </w:r>
      <w:r w:rsidRPr="00185B7D">
        <w:rPr>
          <w:rFonts w:ascii="Arial" w:eastAsia="Arial" w:hAnsi="Arial" w:cs="Arial"/>
          <w:b/>
          <w:color w:val="333333"/>
          <w:sz w:val="26"/>
          <w:lang w:eastAsia="fr-FR"/>
        </w:rPr>
        <w:t xml:space="preserve"> </w:t>
      </w:r>
    </w:p>
    <w:p w14:paraId="3B918891" w14:textId="77777777" w:rsidR="00185B7D" w:rsidRPr="00185B7D" w:rsidRDefault="00185B7D" w:rsidP="00185B7D">
      <w:pPr>
        <w:numPr>
          <w:ilvl w:val="0"/>
          <w:numId w:val="5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frais de transport, nourriture, hébergement, location… </w:t>
      </w:r>
      <w:r w:rsidRPr="00185B7D">
        <w:rPr>
          <w:rFonts w:ascii="Arial" w:eastAsia="Arial" w:hAnsi="Arial" w:cs="Arial"/>
          <w:b/>
          <w:color w:val="333333"/>
          <w:sz w:val="24"/>
          <w:u w:val="single" w:color="333333"/>
          <w:lang w:eastAsia="fr-FR"/>
        </w:rPr>
        <w:t>engagés en France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servant à la création et/ou à la diffusion de l’outil d’ECSI récompensé par le PIEED </w:t>
      </w:r>
    </w:p>
    <w:p w14:paraId="5930FC70" w14:textId="77777777" w:rsidR="00185B7D" w:rsidRPr="00185B7D" w:rsidRDefault="00185B7D" w:rsidP="00185B7D">
      <w:pPr>
        <w:numPr>
          <w:ilvl w:val="0"/>
          <w:numId w:val="5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frais de communication autour du projet d’ECSI </w:t>
      </w:r>
    </w:p>
    <w:p w14:paraId="475145C1" w14:textId="77777777" w:rsidR="00185B7D" w:rsidRPr="00185B7D" w:rsidRDefault="00185B7D" w:rsidP="00185B7D">
      <w:pPr>
        <w:numPr>
          <w:ilvl w:val="0"/>
          <w:numId w:val="5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L’achat de matériel servant à la création de l’outil d’ECSI </w:t>
      </w:r>
    </w:p>
    <w:p w14:paraId="13EDDAA0" w14:textId="1E162A62" w:rsidR="00185B7D" w:rsidRDefault="00185B7D" w:rsidP="00185B7D">
      <w:pPr>
        <w:numPr>
          <w:ilvl w:val="0"/>
          <w:numId w:val="5"/>
        </w:numPr>
        <w:spacing w:after="304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frais de transport, nourriture, hébergement de partenaires internationaux impliqués dans le projet d’ECSI, dûment justifiés dans la description du projet d’ECSI </w:t>
      </w:r>
    </w:p>
    <w:p w14:paraId="26E8F9FA" w14:textId="77777777" w:rsidR="00185B7D" w:rsidRPr="00185B7D" w:rsidRDefault="00185B7D" w:rsidP="00185B7D">
      <w:pPr>
        <w:spacing w:after="0"/>
        <w:ind w:left="-5" w:hanging="10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b/>
          <w:color w:val="333333"/>
          <w:sz w:val="26"/>
          <w:u w:val="single" w:color="333333"/>
          <w:lang w:eastAsia="fr-FR"/>
        </w:rPr>
        <w:t>Ne sont pas éligibles :</w:t>
      </w:r>
      <w:r w:rsidRPr="00185B7D">
        <w:rPr>
          <w:rFonts w:ascii="Arial" w:eastAsia="Arial" w:hAnsi="Arial" w:cs="Arial"/>
          <w:b/>
          <w:color w:val="333333"/>
          <w:sz w:val="26"/>
          <w:lang w:eastAsia="fr-FR"/>
        </w:rPr>
        <w:t xml:space="preserve"> </w:t>
      </w:r>
    </w:p>
    <w:p w14:paraId="52CABB18" w14:textId="34CFB08C" w:rsidR="00185B7D" w:rsidRDefault="00185B7D" w:rsidP="00185B7D">
      <w:pPr>
        <w:numPr>
          <w:ilvl w:val="0"/>
          <w:numId w:val="5"/>
        </w:numPr>
        <w:spacing w:after="3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Toute dépense de voyage (billets d’avion, de train, visas, vaccins, etc) des membres de l’association dans un pays à l’étranger </w:t>
      </w:r>
    </w:p>
    <w:p w14:paraId="1EB4BC89" w14:textId="16B186CC" w:rsidR="00E542C6" w:rsidRDefault="00E542C6" w:rsidP="00E542C6">
      <w:pPr>
        <w:spacing w:after="3" w:line="269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338D0E56" w14:textId="77777777" w:rsidR="00E542C6" w:rsidRPr="00185B7D" w:rsidRDefault="00E542C6" w:rsidP="00E542C6">
      <w:pPr>
        <w:spacing w:after="3" w:line="269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0A0A2F05" w14:textId="77777777" w:rsidR="003B652D" w:rsidRDefault="00185B7D" w:rsidP="003B652D">
      <w:pPr>
        <w:numPr>
          <w:ilvl w:val="0"/>
          <w:numId w:val="5"/>
        </w:numPr>
        <w:spacing w:after="290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Toute dépense effectuée dans un pays à l’étranger, sauf justification évidente dans la description du projet d’ECSI </w:t>
      </w:r>
    </w:p>
    <w:p w14:paraId="144630FC" w14:textId="5DB8EB48" w:rsidR="00185B7D" w:rsidRPr="00185B7D" w:rsidRDefault="00185B7D" w:rsidP="003B652D">
      <w:pPr>
        <w:numPr>
          <w:ilvl w:val="0"/>
          <w:numId w:val="5"/>
        </w:numPr>
        <w:spacing w:after="290" w:line="269" w:lineRule="auto"/>
        <w:ind w:hanging="393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Toute dépense réalisée par une personne qui n’a pas de numéro </w:t>
      </w:r>
      <w:r w:rsidR="000261BC">
        <w:rPr>
          <w:rFonts w:ascii="Arial" w:eastAsia="Arial" w:hAnsi="Arial" w:cs="Arial"/>
          <w:color w:val="333333"/>
          <w:sz w:val="24"/>
          <w:lang w:eastAsia="fr-FR"/>
        </w:rPr>
        <w:t>SIRET</w:t>
      </w:r>
    </w:p>
    <w:p w14:paraId="63D1F34F" w14:textId="456BC4FF" w:rsidR="00185B7D" w:rsidRPr="00185B7D" w:rsidRDefault="00185B7D" w:rsidP="00E542C6">
      <w:pPr>
        <w:spacing w:after="292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dépenses engagées </w:t>
      </w:r>
      <w:r w:rsidR="003B0065">
        <w:rPr>
          <w:rFonts w:ascii="Arial" w:eastAsia="Arial" w:hAnsi="Arial" w:cs="Arial"/>
          <w:color w:val="333333"/>
          <w:sz w:val="24"/>
          <w:lang w:eastAsia="fr-FR"/>
        </w:rPr>
        <w:t>que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l’association devra justifier lors du dépôt du bilan de son projet </w:t>
      </w:r>
      <w:r w:rsidRPr="00185B7D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>ne sont pas rétroactives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. Les seules dépenses éligibles et prises en compte dans l’examen du bilan du projet sont celles </w:t>
      </w:r>
      <w:r w:rsidRPr="00185B7D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>engagées après la date d’obtention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de la subvention du PIEED</w:t>
      </w:r>
      <w:r w:rsidR="003B0065">
        <w:rPr>
          <w:rFonts w:ascii="Arial" w:eastAsia="Arial" w:hAnsi="Arial" w:cs="Arial"/>
          <w:color w:val="333333"/>
          <w:sz w:val="24"/>
          <w:lang w:eastAsia="fr-FR"/>
        </w:rPr>
        <w:t xml:space="preserve">, en l’occurrence la date à laquelle le jury s’est tenu.  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</w:t>
      </w:r>
    </w:p>
    <w:p w14:paraId="08700DA5" w14:textId="762EFA56" w:rsidR="00185B7D" w:rsidRDefault="00185B7D" w:rsidP="00185B7D">
      <w:pPr>
        <w:spacing w:after="367" w:line="244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Cas exceptionnel : </w:t>
      </w:r>
      <w:r w:rsidR="000261BC">
        <w:rPr>
          <w:rFonts w:ascii="Arial" w:eastAsia="Arial" w:hAnsi="Arial" w:cs="Arial"/>
          <w:color w:val="333333"/>
          <w:sz w:val="24"/>
          <w:lang w:eastAsia="fr-FR"/>
        </w:rPr>
        <w:t xml:space="preserve">si l’association est lauréate, 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dépenses </w:t>
      </w:r>
      <w:r w:rsidR="000261BC">
        <w:rPr>
          <w:rFonts w:ascii="Arial" w:eastAsia="Arial" w:hAnsi="Arial" w:cs="Arial"/>
          <w:color w:val="333333"/>
          <w:sz w:val="24"/>
          <w:lang w:eastAsia="fr-FR"/>
        </w:rPr>
        <w:t>qu’elle aura engagée</w:t>
      </w:r>
      <w:r w:rsidR="008E7FB9">
        <w:rPr>
          <w:rFonts w:ascii="Arial" w:eastAsia="Arial" w:hAnsi="Arial" w:cs="Arial"/>
          <w:color w:val="333333"/>
          <w:sz w:val="24"/>
          <w:lang w:eastAsia="fr-FR"/>
        </w:rPr>
        <w:t>s</w:t>
      </w:r>
      <w:r w:rsidR="000261BC">
        <w:rPr>
          <w:rFonts w:ascii="Arial" w:eastAsia="Arial" w:hAnsi="Arial" w:cs="Arial"/>
          <w:color w:val="333333"/>
          <w:sz w:val="24"/>
          <w:lang w:eastAsia="fr-FR"/>
        </w:rPr>
        <w:t xml:space="preserve"> avant le jury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</w:t>
      </w:r>
      <w:r w:rsidR="003B0065">
        <w:rPr>
          <w:rFonts w:ascii="Arial" w:eastAsia="Arial" w:hAnsi="Arial" w:cs="Arial"/>
          <w:color w:val="333333"/>
          <w:sz w:val="24"/>
          <w:lang w:eastAsia="fr-FR"/>
        </w:rPr>
        <w:t xml:space="preserve">sont 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>rétroactives</w:t>
      </w:r>
      <w:r w:rsidR="000261BC">
        <w:rPr>
          <w:rFonts w:ascii="Arial" w:eastAsia="Arial" w:hAnsi="Arial" w:cs="Arial"/>
          <w:color w:val="333333"/>
          <w:sz w:val="24"/>
          <w:lang w:eastAsia="fr-FR"/>
        </w:rPr>
        <w:t xml:space="preserve"> aux conditions suivantes :  </w:t>
      </w:r>
      <w:r w:rsidRPr="00185B7D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>elles ont été</w:t>
      </w:r>
      <w:r w:rsidR="003B0065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 xml:space="preserve"> réalisées</w:t>
      </w:r>
      <w:r w:rsidR="000261BC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 xml:space="preserve"> à partir</w:t>
      </w:r>
      <w:r w:rsidRPr="00185B7D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 xml:space="preserve"> </w:t>
      </w:r>
      <w:r w:rsidR="000261BC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>d</w:t>
      </w:r>
      <w:r w:rsidR="003B0065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>e 1</w:t>
      </w:r>
      <w:r w:rsidRPr="00185B7D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 xml:space="preserve"> mois avant le jury du PIEED</w:t>
      </w:r>
      <w:r w:rsidR="000261BC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 xml:space="preserve"> </w:t>
      </w:r>
      <w:r w:rsidRPr="00185B7D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>; elles ne représentent pas plus de 30% des dépenses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</w:t>
      </w:r>
      <w:r w:rsidRPr="00185B7D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>engagées nécessaires à la mise en œuvre du projet</w:t>
      </w:r>
      <w:r w:rsidR="003B0065">
        <w:rPr>
          <w:rFonts w:ascii="Arial" w:eastAsia="Arial" w:hAnsi="Arial" w:cs="Arial"/>
          <w:color w:val="333333"/>
          <w:sz w:val="24"/>
          <w:u w:val="single" w:color="333333"/>
          <w:lang w:eastAsia="fr-FR"/>
        </w:rPr>
        <w:t xml:space="preserve">. 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</w:t>
      </w:r>
    </w:p>
    <w:p w14:paraId="06207C02" w14:textId="77777777" w:rsidR="00A13C78" w:rsidRPr="00185B7D" w:rsidRDefault="00A13C78" w:rsidP="00185B7D">
      <w:pPr>
        <w:spacing w:after="367" w:line="244" w:lineRule="auto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4DC834A7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8 : Durée et mise en œuvre du projet </w:t>
      </w:r>
    </w:p>
    <w:p w14:paraId="1498CFF9" w14:textId="1B03E51B" w:rsidR="00185B7D" w:rsidRPr="00185B7D" w:rsidRDefault="00185B7D" w:rsidP="00185B7D">
      <w:pPr>
        <w:spacing w:after="292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associations lauréates ont un délai d’un an et demi pour mettre en œuvre leurs actions d’ECSI. </w:t>
      </w:r>
    </w:p>
    <w:p w14:paraId="456F4D1D" w14:textId="2CF1CC05" w:rsidR="00185B7D" w:rsidRPr="00185B7D" w:rsidRDefault="00185B7D" w:rsidP="00A13C78">
      <w:pPr>
        <w:spacing w:after="292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Si l’association souhaite un délai supplémentaire pour réaliser ses actions d’ECSI, elle doit en informer E&amp;D deux mois avant la fin de la convention, et sur validation d’E&amp;D, elle pourra signer un avenant à sa convention de financement pour rallonger la durée de mise en œuvre du projet. </w:t>
      </w:r>
    </w:p>
    <w:p w14:paraId="59EE1A37" w14:textId="38AF353D" w:rsidR="00185B7D" w:rsidRPr="00185B7D" w:rsidRDefault="00185B7D" w:rsidP="00185B7D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Si l’association souhaite apporter des modifications importantes à son projet d’ECSI, elle doit en informer E&amp;D et, </w:t>
      </w:r>
      <w:r w:rsidR="00E84A5E">
        <w:rPr>
          <w:rFonts w:ascii="Arial" w:eastAsia="Arial" w:hAnsi="Arial" w:cs="Arial"/>
          <w:color w:val="333333"/>
          <w:sz w:val="24"/>
          <w:lang w:eastAsia="fr-FR"/>
        </w:rPr>
        <w:t xml:space="preserve">après 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validation, elle pourra signer un avenant mentionnant les modifications apportées au projet initial lauréat. </w:t>
      </w:r>
    </w:p>
    <w:p w14:paraId="1E70912A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9 : Restitution du projet </w:t>
      </w:r>
    </w:p>
    <w:p w14:paraId="5F7DC249" w14:textId="77777777" w:rsidR="00185B7D" w:rsidRPr="00185B7D" w:rsidRDefault="00185B7D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Toute association lauréate s’engage à être disponible durant toute la durée de la convention pour participer à des événements d’ECSI organisés par Engagé·e·s et Déterminé·e·s et les partenaires du PIEED. </w:t>
      </w:r>
    </w:p>
    <w:p w14:paraId="7693560A" w14:textId="77777777" w:rsidR="00185B7D" w:rsidRPr="00185B7D" w:rsidRDefault="00185B7D" w:rsidP="00185B7D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A l’issue de la mise en œuvre du projet, toute association lauréate s’engage à participer à des événements de restitution sur leur projet organisé par Engagé·e·s et Déterminé·e·s. </w:t>
      </w:r>
    </w:p>
    <w:p w14:paraId="0D58B094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10 : Clôture du projet </w:t>
      </w:r>
    </w:p>
    <w:p w14:paraId="5C4905EB" w14:textId="77777777" w:rsidR="00E542C6" w:rsidRDefault="00185B7D" w:rsidP="00185B7D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Afin de clôturer son projet, l’association lauréate devra 1) remplir et renvoyer la fiche d’expérience du projet d’ECSI à Engagé·e·s et Déterminé·e·s et 2) remettre un bilan </w:t>
      </w:r>
    </w:p>
    <w:p w14:paraId="364AEC79" w14:textId="77777777" w:rsidR="00E542C6" w:rsidRDefault="00E542C6" w:rsidP="00185B7D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1E7AC375" w14:textId="7874DCE3" w:rsidR="00185B7D" w:rsidRPr="00185B7D" w:rsidRDefault="00185B7D" w:rsidP="00185B7D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>financier à Engagé·e·s et Déterminé·e·s, justifiant avec factures de toute</w:t>
      </w:r>
      <w:r w:rsidR="00B45D61">
        <w:rPr>
          <w:rFonts w:ascii="Arial" w:eastAsia="Arial" w:hAnsi="Arial" w:cs="Arial"/>
          <w:color w:val="333333"/>
          <w:sz w:val="24"/>
          <w:lang w:eastAsia="fr-FR"/>
        </w:rPr>
        <w:t>s les dépenses réalisées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. </w:t>
      </w:r>
    </w:p>
    <w:p w14:paraId="66A920FD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11 : Contact </w:t>
      </w:r>
    </w:p>
    <w:p w14:paraId="016380AD" w14:textId="735EA91B" w:rsidR="00185B7D" w:rsidRPr="00185B7D" w:rsidRDefault="00185B7D" w:rsidP="00E542C6">
      <w:pPr>
        <w:spacing w:after="339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associations lauréates s’engagent à fournir une adresse postale, une adresse mail et un numéro de téléphone à jour pour permettre à E&amp;D d’effectuer un travail de suivi du projet. Tout changement d’adresse, de numéro ou de personne contact devra être notifié à Engagé·e·s et Déterminé·e·s immédiatement. </w:t>
      </w:r>
    </w:p>
    <w:p w14:paraId="614C1C80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12 : Adhésion à Engagé·e·s et Déterminé·e·s  </w:t>
      </w:r>
    </w:p>
    <w:p w14:paraId="530FBF36" w14:textId="7B29ECF5" w:rsidR="00A13C78" w:rsidRPr="00185B7D" w:rsidRDefault="00185B7D" w:rsidP="00185B7D">
      <w:pPr>
        <w:spacing w:after="347" w:line="261" w:lineRule="auto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associations lauréates doivent adhérer à Engagé·e·s et Déterminé·e·s, et ce chaque année tant qu’elles continuent d’être accompagnées par E&amp;D, et tant qu’elles n’ont pas déposé le bilan de leur projet PIEED. </w:t>
      </w:r>
    </w:p>
    <w:p w14:paraId="335D2815" w14:textId="77777777" w:rsidR="00185B7D" w:rsidRPr="00185B7D" w:rsidRDefault="00185B7D" w:rsidP="00185B7D">
      <w:pPr>
        <w:keepNext/>
        <w:keepLines/>
        <w:shd w:val="clear" w:color="auto" w:fill="5AAA96"/>
        <w:spacing w:after="0"/>
        <w:ind w:left="-5" w:hanging="10"/>
        <w:outlineLvl w:val="0"/>
        <w:rPr>
          <w:rFonts w:ascii="Calibri" w:eastAsia="Calibri" w:hAnsi="Calibri" w:cs="Calibri"/>
          <w:color w:val="FFFFFF"/>
          <w:sz w:val="32"/>
          <w:lang w:eastAsia="fr-FR"/>
        </w:rPr>
      </w:pPr>
      <w:r w:rsidRPr="00185B7D">
        <w:rPr>
          <w:rFonts w:ascii="Calibri" w:eastAsia="Calibri" w:hAnsi="Calibri" w:cs="Calibri"/>
          <w:color w:val="FFFFFF"/>
          <w:sz w:val="32"/>
          <w:lang w:eastAsia="fr-FR"/>
        </w:rPr>
        <w:t xml:space="preserve">Article 13 : Litiges </w:t>
      </w:r>
    </w:p>
    <w:p w14:paraId="17D78719" w14:textId="77777777" w:rsidR="00185B7D" w:rsidRPr="00185B7D" w:rsidRDefault="00185B7D" w:rsidP="00185B7D">
      <w:pPr>
        <w:spacing w:after="292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En cas de litige entre l’association lauréate et Engagé·e·s et Déterminé·e·s, et dans le cas où l’association lauréate n’est pas en capacité de mener à bien son projet d’ECSI, elle doit tout d’abord en informer E&amp;D et lui expliquer les raisons de cette incapacité. A l’issue d’un dialogue avec E&amp;D, si aucune issue réaliste n’est trouvée, l’association lauréate devra rembourser E&amp;D de la totalité de la subvention reçue. </w:t>
      </w:r>
    </w:p>
    <w:p w14:paraId="426678EA" w14:textId="6DA22FC7" w:rsidR="00185B7D" w:rsidRPr="00185B7D" w:rsidRDefault="00185B7D" w:rsidP="00A13C78">
      <w:pPr>
        <w:spacing w:after="292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Les parties organisatrices se réservent le droit de mettre fin à une convention de partenariat PIEED dans le cas où, collégialement concertées, elles estiment que le projet subventionné n’est plus en accord avec leurs propres valeurs et celles défendues </w:t>
      </w:r>
      <w:r w:rsidR="00D87EB6">
        <w:rPr>
          <w:rFonts w:ascii="Arial" w:eastAsia="Arial" w:hAnsi="Arial" w:cs="Arial"/>
          <w:color w:val="333333"/>
          <w:sz w:val="24"/>
          <w:lang w:eastAsia="fr-FR"/>
        </w:rPr>
        <w:t>par</w:t>
      </w: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 l’ECSI. </w:t>
      </w:r>
    </w:p>
    <w:p w14:paraId="703970A3" w14:textId="77777777" w:rsidR="00185B7D" w:rsidRPr="00185B7D" w:rsidRDefault="00185B7D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  <w:r w:rsidRPr="00185B7D">
        <w:rPr>
          <w:rFonts w:ascii="Arial" w:eastAsia="Arial" w:hAnsi="Arial" w:cs="Arial"/>
          <w:color w:val="333333"/>
          <w:sz w:val="24"/>
          <w:lang w:eastAsia="fr-FR"/>
        </w:rPr>
        <w:t xml:space="preserve">L’association lauréate en sera directement informée par Engagé·e·s et Déterminé·e·s et pourra se voir demander de restituer les sommes allouées à son projet. </w:t>
      </w:r>
    </w:p>
    <w:p w14:paraId="66A30FEE" w14:textId="77777777" w:rsidR="00185B7D" w:rsidRPr="00185B7D" w:rsidRDefault="00185B7D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p w14:paraId="18A6FAE6" w14:textId="77777777" w:rsidR="00185B7D" w:rsidRPr="00185B7D" w:rsidRDefault="00185B7D" w:rsidP="00185B7D">
      <w:pPr>
        <w:spacing w:after="3" w:line="269" w:lineRule="auto"/>
        <w:ind w:left="10" w:hanging="10"/>
        <w:jc w:val="both"/>
        <w:rPr>
          <w:rFonts w:ascii="Arial" w:eastAsia="Arial" w:hAnsi="Arial" w:cs="Arial"/>
          <w:color w:val="333333"/>
          <w:sz w:val="24"/>
          <w:lang w:eastAsia="fr-FR"/>
        </w:rPr>
      </w:pPr>
    </w:p>
    <w:sectPr w:rsidR="00185B7D" w:rsidRPr="00185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942C" w14:textId="77777777" w:rsidR="006D68BB" w:rsidRDefault="006D68BB" w:rsidP="009B4D09">
      <w:pPr>
        <w:spacing w:after="0" w:line="240" w:lineRule="auto"/>
      </w:pPr>
      <w:r>
        <w:separator/>
      </w:r>
    </w:p>
  </w:endnote>
  <w:endnote w:type="continuationSeparator" w:id="0">
    <w:p w14:paraId="716E9B98" w14:textId="77777777" w:rsidR="006D68BB" w:rsidRDefault="006D68BB" w:rsidP="009B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bre Vintage">
    <w:altName w:val="Calibri"/>
    <w:charset w:val="00"/>
    <w:family w:val="auto"/>
    <w:pitch w:val="default"/>
  </w:font>
  <w:font w:name=".Helvetica Neue Interface">
    <w:altName w:val="Calibri"/>
    <w:charset w:val="00"/>
    <w:family w:val="swiss"/>
    <w:pitch w:val="variable"/>
    <w:sig w:usb0="A00002FF" w:usb1="5000205B" w:usb2="00000002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8CC2" w14:textId="77777777" w:rsidR="008E3771" w:rsidRDefault="008E37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5168" w14:textId="77777777" w:rsidR="008E3771" w:rsidRDefault="008E37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DBAE" w14:textId="77777777" w:rsidR="008E3771" w:rsidRDefault="008E37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DCFB" w14:textId="77777777" w:rsidR="006D68BB" w:rsidRDefault="006D68BB" w:rsidP="009B4D09">
      <w:pPr>
        <w:spacing w:after="0" w:line="240" w:lineRule="auto"/>
      </w:pPr>
      <w:r>
        <w:separator/>
      </w:r>
    </w:p>
  </w:footnote>
  <w:footnote w:type="continuationSeparator" w:id="0">
    <w:p w14:paraId="3E7A71A4" w14:textId="77777777" w:rsidR="006D68BB" w:rsidRDefault="006D68BB" w:rsidP="009B4D09">
      <w:pPr>
        <w:spacing w:after="0" w:line="240" w:lineRule="auto"/>
      </w:pPr>
      <w:r>
        <w:continuationSeparator/>
      </w:r>
    </w:p>
  </w:footnote>
  <w:footnote w:id="1">
    <w:p w14:paraId="0104E1A5" w14:textId="420F7073" w:rsidR="00183415" w:rsidRDefault="0018341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83415">
        <w:t>https://www.engagees-determinees.org/articles/argumentaire_ECSI#:~:text=L'ECSI%2C%20permet%20%C3%A0%20chacun,plus%20juste%2C%20solidaire%20et%20durable.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3DF6" w14:textId="77777777" w:rsidR="008E3771" w:rsidRDefault="008E37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BDA" w14:textId="5CFC9B41" w:rsidR="009B4D09" w:rsidRDefault="008E3771" w:rsidP="00185B7D">
    <w:pPr>
      <w:pStyle w:val="En-tte"/>
      <w:tabs>
        <w:tab w:val="clear" w:pos="4536"/>
        <w:tab w:val="clear" w:pos="9072"/>
        <w:tab w:val="left" w:pos="159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29E9F43" wp14:editId="74F1E281">
              <wp:simplePos x="0" y="0"/>
              <wp:positionH relativeFrom="column">
                <wp:posOffset>4229100</wp:posOffset>
              </wp:positionH>
              <wp:positionV relativeFrom="paragraph">
                <wp:posOffset>-154940</wp:posOffset>
              </wp:positionV>
              <wp:extent cx="127635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61111" w14:textId="77777777" w:rsidR="008E3771" w:rsidRDefault="008E3771" w:rsidP="008E3771">
                          <w:r>
                            <w:t>Avec le soutien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9E9F4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33pt;margin-top:-12.2pt;width:100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mX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" stroked="f">
              <v:textbox style="mso-fit-shape-to-text:t">
                <w:txbxContent>
                  <w:p w14:paraId="2BF61111" w14:textId="77777777" w:rsidR="008E3771" w:rsidRDefault="008E3771" w:rsidP="008E3771">
                    <w:r>
                      <w:t>Avec le soutien 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5EC8D6BD" wp14:editId="4510A1EC">
          <wp:simplePos x="0" y="0"/>
          <wp:positionH relativeFrom="column">
            <wp:posOffset>5431155</wp:posOffset>
          </wp:positionH>
          <wp:positionV relativeFrom="paragraph">
            <wp:posOffset>-302895</wp:posOffset>
          </wp:positionV>
          <wp:extent cx="1074420" cy="56869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568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hidden="0" allowOverlap="1" wp14:anchorId="1F243E6B" wp14:editId="504D1A97">
          <wp:simplePos x="0" y="0"/>
          <wp:positionH relativeFrom="column">
            <wp:posOffset>-3471545</wp:posOffset>
          </wp:positionH>
          <wp:positionV relativeFrom="paragraph">
            <wp:posOffset>-192405</wp:posOffset>
          </wp:positionV>
          <wp:extent cx="598614" cy="844550"/>
          <wp:effectExtent l="0" t="0" r="0" b="0"/>
          <wp:wrapNone/>
          <wp:docPr id="356531820" name="Image 356531820" descr="Une image contenant Graphique, Police, graphisme, cerc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31820" name="Image 356531820" descr="Une image contenant Graphique, Police, graphisme, cercl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614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hidden="0" allowOverlap="1" wp14:anchorId="3042BD58" wp14:editId="14AC5ABD">
          <wp:simplePos x="0" y="0"/>
          <wp:positionH relativeFrom="column">
            <wp:posOffset>2819400</wp:posOffset>
          </wp:positionH>
          <wp:positionV relativeFrom="paragraph">
            <wp:posOffset>-400685</wp:posOffset>
          </wp:positionV>
          <wp:extent cx="598614" cy="844550"/>
          <wp:effectExtent l="0" t="0" r="0" b="0"/>
          <wp:wrapNone/>
          <wp:docPr id="510174460" name="Image 510174460" descr="Une image contenant Graphique, Police, graphisme, cerc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174460" name="Image 510174460" descr="Une image contenant Graphique, Police, graphisme, cercl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614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hidden="0" allowOverlap="1" wp14:anchorId="4E6A386D" wp14:editId="077358D2">
          <wp:simplePos x="0" y="0"/>
          <wp:positionH relativeFrom="column">
            <wp:posOffset>-3623945</wp:posOffset>
          </wp:positionH>
          <wp:positionV relativeFrom="paragraph">
            <wp:posOffset>-344805</wp:posOffset>
          </wp:positionV>
          <wp:extent cx="598614" cy="844550"/>
          <wp:effectExtent l="0" t="0" r="0" b="0"/>
          <wp:wrapNone/>
          <wp:docPr id="120883460" name="Image 120883460" descr="Une image contenant Graphique, Police, graphisme, cerc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83460" name="Image 120883460" descr="Une image contenant Graphique, Police, graphisme, cercl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614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hidden="0" allowOverlap="1" wp14:anchorId="6F105130" wp14:editId="36CD43BD">
          <wp:simplePos x="0" y="0"/>
          <wp:positionH relativeFrom="column">
            <wp:posOffset>-3776345</wp:posOffset>
          </wp:positionH>
          <wp:positionV relativeFrom="paragraph">
            <wp:posOffset>-497205</wp:posOffset>
          </wp:positionV>
          <wp:extent cx="598614" cy="844550"/>
          <wp:effectExtent l="0" t="0" r="0" b="0"/>
          <wp:wrapNone/>
          <wp:docPr id="476252311" name="Image 476252311" descr="Une image contenant Graphique, Police, graphisme, cerc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252311" name="Image 476252311" descr="Une image contenant Graphique, Police, graphisme, cercl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614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25ED185" wp14:editId="2C23AF00">
          <wp:simplePos x="0" y="0"/>
          <wp:positionH relativeFrom="column">
            <wp:posOffset>781050</wp:posOffset>
          </wp:positionH>
          <wp:positionV relativeFrom="paragraph">
            <wp:posOffset>-153035</wp:posOffset>
          </wp:positionV>
          <wp:extent cx="1691856" cy="394300"/>
          <wp:effectExtent l="0" t="0" r="3810" b="6350"/>
          <wp:wrapSquare wrapText="bothSides"/>
          <wp:docPr id="529049754" name="Image 529049754" descr="Une image contenant Police, Graphique, graphisme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049754" name="Image 529049754" descr="Une image contenant Police, Graphique, graphisme, texte&#10;&#10;Description générée automatiquement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856" cy="39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5B7D">
      <w:rPr>
        <w:noProof/>
      </w:rPr>
      <w:drawing>
        <wp:anchor distT="0" distB="0" distL="114300" distR="114300" simplePos="0" relativeHeight="251667456" behindDoc="0" locked="0" layoutInCell="1" allowOverlap="1" wp14:anchorId="3BB19AF5" wp14:editId="0D335E19">
          <wp:simplePos x="0" y="0"/>
          <wp:positionH relativeFrom="column">
            <wp:posOffset>-3475355</wp:posOffset>
          </wp:positionH>
          <wp:positionV relativeFrom="paragraph">
            <wp:posOffset>-190500</wp:posOffset>
          </wp:positionV>
          <wp:extent cx="651679" cy="923502"/>
          <wp:effectExtent l="0" t="0" r="0" b="0"/>
          <wp:wrapNone/>
          <wp:docPr id="4" name="Picture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1679" cy="923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5B7D">
      <w:rPr>
        <w:noProof/>
      </w:rPr>
      <w:drawing>
        <wp:anchor distT="0" distB="0" distL="114300" distR="114300" simplePos="0" relativeHeight="251665408" behindDoc="0" locked="0" layoutInCell="1" allowOverlap="1" wp14:anchorId="6E3A6AEE" wp14:editId="52251F07">
          <wp:simplePos x="0" y="0"/>
          <wp:positionH relativeFrom="column">
            <wp:posOffset>-3627755</wp:posOffset>
          </wp:positionH>
          <wp:positionV relativeFrom="paragraph">
            <wp:posOffset>-342900</wp:posOffset>
          </wp:positionV>
          <wp:extent cx="651679" cy="923502"/>
          <wp:effectExtent l="0" t="0" r="0" b="0"/>
          <wp:wrapNone/>
          <wp:docPr id="3" name="Picture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1679" cy="923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5B7D">
      <w:rPr>
        <w:noProof/>
      </w:rPr>
      <w:drawing>
        <wp:anchor distT="0" distB="0" distL="114300" distR="114300" simplePos="0" relativeHeight="251663360" behindDoc="0" locked="0" layoutInCell="1" allowOverlap="1" wp14:anchorId="620FAB6A" wp14:editId="022970F4">
          <wp:simplePos x="0" y="0"/>
          <wp:positionH relativeFrom="column">
            <wp:posOffset>-3780155</wp:posOffset>
          </wp:positionH>
          <wp:positionV relativeFrom="paragraph">
            <wp:posOffset>-495300</wp:posOffset>
          </wp:positionV>
          <wp:extent cx="651679" cy="923502"/>
          <wp:effectExtent l="0" t="0" r="0" b="0"/>
          <wp:wrapNone/>
          <wp:docPr id="1" name="Picture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1679" cy="923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3AF">
      <w:rPr>
        <w:noProof/>
      </w:rPr>
      <w:drawing>
        <wp:anchor distT="0" distB="0" distL="114300" distR="114300" simplePos="0" relativeHeight="251659264" behindDoc="1" locked="0" layoutInCell="1" allowOverlap="1" wp14:anchorId="4BCF535D" wp14:editId="10E13478">
          <wp:simplePos x="0" y="0"/>
          <wp:positionH relativeFrom="column">
            <wp:posOffset>-3778250</wp:posOffset>
          </wp:positionH>
          <wp:positionV relativeFrom="paragraph">
            <wp:posOffset>-495935</wp:posOffset>
          </wp:positionV>
          <wp:extent cx="8369300" cy="10774367"/>
          <wp:effectExtent l="0" t="0" r="0" b="8255"/>
          <wp:wrapNone/>
          <wp:docPr id="2" name="Image 2" descr="Une image contenant objet, noir, lamp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adress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0" cy="10774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</w:t>
    </w:r>
    <w:r w:rsidR="00185B7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3D5A" w14:textId="77777777" w:rsidR="008E3771" w:rsidRDefault="008E37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5108"/>
    <w:multiLevelType w:val="hybridMultilevel"/>
    <w:tmpl w:val="C2943900"/>
    <w:lvl w:ilvl="0" w:tplc="377C0BE6">
      <w:start w:val="1"/>
      <w:numFmt w:val="bullet"/>
      <w:lvlText w:val="-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8172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E22D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50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4089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E61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2082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616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87D7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136E5D"/>
    <w:multiLevelType w:val="hybridMultilevel"/>
    <w:tmpl w:val="4F7004E4"/>
    <w:lvl w:ilvl="0" w:tplc="1CC2B49E">
      <w:start w:val="1"/>
      <w:numFmt w:val="bullet"/>
      <w:lvlText w:val="-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ED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6F95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2BA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0B4C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49A7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05E1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E7D5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EF80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05893"/>
    <w:multiLevelType w:val="hybridMultilevel"/>
    <w:tmpl w:val="88BCFE20"/>
    <w:lvl w:ilvl="0" w:tplc="C5E0B54E">
      <w:start w:val="1"/>
      <w:numFmt w:val="bullet"/>
      <w:lvlText w:val="-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8A6F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2757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E302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CC64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C1CB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221E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812F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4060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E70994"/>
    <w:multiLevelType w:val="hybridMultilevel"/>
    <w:tmpl w:val="6AE0AD12"/>
    <w:lvl w:ilvl="0" w:tplc="295ACAEC">
      <w:start w:val="1"/>
      <w:numFmt w:val="bullet"/>
      <w:lvlText w:val="-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0D8D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4975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8890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334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85A4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680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655F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4F6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BF229C"/>
    <w:multiLevelType w:val="hybridMultilevel"/>
    <w:tmpl w:val="074A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41DB9"/>
    <w:multiLevelType w:val="hybridMultilevel"/>
    <w:tmpl w:val="1666CA16"/>
    <w:lvl w:ilvl="0" w:tplc="2D149F40">
      <w:start w:val="1"/>
      <w:numFmt w:val="bullet"/>
      <w:lvlText w:val="-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22D4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43E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0286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E60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0E72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030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A553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22C0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859292">
    <w:abstractNumId w:val="5"/>
  </w:num>
  <w:num w:numId="2" w16cid:durableId="184757117">
    <w:abstractNumId w:val="3"/>
  </w:num>
  <w:num w:numId="3" w16cid:durableId="1604610093">
    <w:abstractNumId w:val="0"/>
  </w:num>
  <w:num w:numId="4" w16cid:durableId="740296579">
    <w:abstractNumId w:val="1"/>
  </w:num>
  <w:num w:numId="5" w16cid:durableId="92167311">
    <w:abstractNumId w:val="2"/>
  </w:num>
  <w:num w:numId="6" w16cid:durableId="88784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E7"/>
    <w:rsid w:val="000261BC"/>
    <w:rsid w:val="00084592"/>
    <w:rsid w:val="000F6EA4"/>
    <w:rsid w:val="00183415"/>
    <w:rsid w:val="00185B7D"/>
    <w:rsid w:val="001C43AF"/>
    <w:rsid w:val="001D7A80"/>
    <w:rsid w:val="0020551B"/>
    <w:rsid w:val="00235429"/>
    <w:rsid w:val="003B0065"/>
    <w:rsid w:val="003B652D"/>
    <w:rsid w:val="003C0D88"/>
    <w:rsid w:val="004B5622"/>
    <w:rsid w:val="004E0253"/>
    <w:rsid w:val="00507C15"/>
    <w:rsid w:val="005135D8"/>
    <w:rsid w:val="005C45F2"/>
    <w:rsid w:val="00643186"/>
    <w:rsid w:val="006C08E7"/>
    <w:rsid w:val="006C2372"/>
    <w:rsid w:val="006D68BB"/>
    <w:rsid w:val="007353FA"/>
    <w:rsid w:val="00742CAC"/>
    <w:rsid w:val="007E6ECB"/>
    <w:rsid w:val="00871C3E"/>
    <w:rsid w:val="008E3771"/>
    <w:rsid w:val="008E7FB9"/>
    <w:rsid w:val="00943B5A"/>
    <w:rsid w:val="009B4D09"/>
    <w:rsid w:val="00A13C78"/>
    <w:rsid w:val="00B45D61"/>
    <w:rsid w:val="00BD45F4"/>
    <w:rsid w:val="00C964A2"/>
    <w:rsid w:val="00D87EB6"/>
    <w:rsid w:val="00E034F1"/>
    <w:rsid w:val="00E367A5"/>
    <w:rsid w:val="00E542C6"/>
    <w:rsid w:val="00E776FE"/>
    <w:rsid w:val="00E84A5E"/>
    <w:rsid w:val="00F90B06"/>
    <w:rsid w:val="00FB43C2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0A6B"/>
  <w15:chartTrackingRefBased/>
  <w15:docId w15:val="{04ECD1CD-786B-438B-B889-709B709F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5429"/>
    <w:pPr>
      <w:keepNext/>
      <w:keepLines/>
      <w:spacing w:before="240" w:after="0"/>
      <w:jc w:val="center"/>
      <w:outlineLvl w:val="0"/>
    </w:pPr>
    <w:rPr>
      <w:rFonts w:ascii="Fibre Vintage" w:eastAsiaTheme="majorEastAsia" w:hAnsi="Fibre Vintage" w:cstheme="majorBidi"/>
      <w:color w:val="F9B104"/>
      <w:sz w:val="80"/>
      <w:szCs w:val="8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5429"/>
    <w:pPr>
      <w:keepNext/>
      <w:keepLines/>
      <w:shd w:val="clear" w:color="auto" w:fill="5AAA96"/>
      <w:spacing w:before="40" w:after="0"/>
      <w:outlineLvl w:val="1"/>
    </w:pPr>
    <w:rPr>
      <w:rFonts w:ascii=".Helvetica Neue Interface" w:eastAsiaTheme="majorEastAsia" w:hAnsi=".Helvetica Neue Interface" w:cs="Helvetica"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5429"/>
    <w:pPr>
      <w:keepNext/>
      <w:keepLines/>
      <w:shd w:val="clear" w:color="auto" w:fill="F9B104"/>
      <w:spacing w:before="40" w:after="0"/>
      <w:outlineLvl w:val="2"/>
    </w:pPr>
    <w:rPr>
      <w:rFonts w:ascii=".Helvetica Neue Interface" w:eastAsiaTheme="majorEastAsia" w:hAnsi=".Helvetica Neue Interface" w:cstheme="majorBidi"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5429"/>
    <w:pPr>
      <w:outlineLvl w:val="3"/>
    </w:pPr>
    <w:rPr>
      <w:rFonts w:ascii="Caveat Brush" w:hAnsi="Caveat Brush"/>
      <w:color w:val="5AAA9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CAC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35429"/>
    <w:pPr>
      <w:spacing w:after="0" w:line="240" w:lineRule="auto"/>
      <w:contextualSpacing/>
      <w:jc w:val="center"/>
    </w:pPr>
    <w:rPr>
      <w:rFonts w:ascii="Fibre Vintage" w:eastAsiaTheme="majorEastAsia" w:hAnsi="Fibre Vintage" w:cstheme="majorBidi"/>
      <w:color w:val="5AAA96"/>
      <w:spacing w:val="-10"/>
      <w:kern w:val="28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235429"/>
    <w:rPr>
      <w:rFonts w:ascii="Fibre Vintage" w:eastAsiaTheme="majorEastAsia" w:hAnsi="Fibre Vintage" w:cstheme="majorBidi"/>
      <w:color w:val="5AAA96"/>
      <w:spacing w:val="-10"/>
      <w:kern w:val="28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235429"/>
    <w:rPr>
      <w:rFonts w:ascii="Fibre Vintage" w:eastAsiaTheme="majorEastAsia" w:hAnsi="Fibre Vintage" w:cstheme="majorBidi"/>
      <w:color w:val="F9B104"/>
      <w:sz w:val="80"/>
      <w:szCs w:val="80"/>
    </w:rPr>
  </w:style>
  <w:style w:type="character" w:customStyle="1" w:styleId="Titre2Car">
    <w:name w:val="Titre 2 Car"/>
    <w:basedOn w:val="Policepardfaut"/>
    <w:link w:val="Titre2"/>
    <w:uiPriority w:val="9"/>
    <w:rsid w:val="00235429"/>
    <w:rPr>
      <w:rFonts w:ascii=".Helvetica Neue Interface" w:eastAsiaTheme="majorEastAsia" w:hAnsi=".Helvetica Neue Interface" w:cs="Helvetica"/>
      <w:color w:val="FFFFFF" w:themeColor="background1"/>
      <w:sz w:val="32"/>
      <w:szCs w:val="32"/>
      <w:shd w:val="clear" w:color="auto" w:fill="5AAA96"/>
    </w:rPr>
  </w:style>
  <w:style w:type="character" w:customStyle="1" w:styleId="Titre3Car">
    <w:name w:val="Titre 3 Car"/>
    <w:basedOn w:val="Policepardfaut"/>
    <w:link w:val="Titre3"/>
    <w:uiPriority w:val="9"/>
    <w:rsid w:val="00235429"/>
    <w:rPr>
      <w:rFonts w:ascii=".Helvetica Neue Interface" w:eastAsiaTheme="majorEastAsia" w:hAnsi=".Helvetica Neue Interface" w:cstheme="majorBidi"/>
      <w:color w:val="FFFFFF" w:themeColor="background1"/>
      <w:shd w:val="clear" w:color="auto" w:fill="F9B104"/>
    </w:rPr>
  </w:style>
  <w:style w:type="paragraph" w:styleId="En-tte">
    <w:name w:val="header"/>
    <w:basedOn w:val="Normal"/>
    <w:link w:val="En-tteCar"/>
    <w:uiPriority w:val="99"/>
    <w:unhideWhenUsed/>
    <w:rsid w:val="009B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D09"/>
  </w:style>
  <w:style w:type="paragraph" w:styleId="Pieddepage">
    <w:name w:val="footer"/>
    <w:basedOn w:val="Normal"/>
    <w:link w:val="PieddepageCar"/>
    <w:uiPriority w:val="99"/>
    <w:unhideWhenUsed/>
    <w:rsid w:val="009B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D09"/>
  </w:style>
  <w:style w:type="character" w:customStyle="1" w:styleId="Titre4Car">
    <w:name w:val="Titre 4 Car"/>
    <w:basedOn w:val="Policepardfaut"/>
    <w:link w:val="Titre4"/>
    <w:uiPriority w:val="9"/>
    <w:rsid w:val="00235429"/>
    <w:rPr>
      <w:rFonts w:ascii="Caveat Brush" w:hAnsi="Caveat Brush"/>
      <w:color w:val="5AAA96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C0D8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34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34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3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503E-0A8E-46BC-ABED-86CA5630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Diane de Chabot</cp:lastModifiedBy>
  <cp:revision>11</cp:revision>
  <dcterms:created xsi:type="dcterms:W3CDTF">2024-01-03T14:07:00Z</dcterms:created>
  <dcterms:modified xsi:type="dcterms:W3CDTF">2024-01-04T14:28:00Z</dcterms:modified>
</cp:coreProperties>
</file>